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CCD" w:rsidRDefault="00160CCD">
      <w:pPr>
        <w:rPr>
          <w:rFonts w:ascii="Arial" w:hAnsi="Arial" w:cs="Arial"/>
          <w:color w:val="C00000"/>
        </w:rPr>
      </w:pPr>
    </w:p>
    <w:p w:rsidR="00160CCD" w:rsidRDefault="00BA1D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Style w:val="Forte"/>
          <w:rFonts w:ascii="Arial" w:eastAsia="Times New Roman" w:hAnsi="Arial" w:cs="Arial"/>
          <w:color w:val="000000"/>
          <w:sz w:val="24"/>
          <w:szCs w:val="24"/>
        </w:rPr>
        <w:t>Atividades Complementares para os alunos da Educação Especial (Inclusão). </w:t>
      </w:r>
    </w:p>
    <w:p w:rsidR="00160CCD" w:rsidRDefault="00744B1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Escola: EMEI SANTA EMÍLIA</w:t>
      </w:r>
    </w:p>
    <w:p w:rsidR="00160CCD" w:rsidRDefault="00BA1DB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</w:t>
      </w:r>
      <w:r>
        <w:rPr>
          <w:rFonts w:ascii="Arial" w:hAnsi="Arial" w:cs="Arial"/>
          <w:sz w:val="24"/>
          <w:szCs w:val="24"/>
        </w:rPr>
        <w:t>/AEE:  Cynthia Ap. Mingoto</w:t>
      </w:r>
    </w:p>
    <w:p w:rsidR="00160CCD" w:rsidRDefault="00BA1DB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Brincadeiras da infância dos pais</w:t>
      </w:r>
    </w:p>
    <w:p w:rsidR="00160CCD" w:rsidRDefault="00BA1DBE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Objetivo: </w:t>
      </w:r>
      <w:r>
        <w:rPr>
          <w:rFonts w:ascii="Arial" w:eastAsia="Times New Roman" w:hAnsi="Arial" w:cs="Arial"/>
          <w:b/>
          <w:sz w:val="24"/>
          <w:szCs w:val="24"/>
          <w:lang w:val="en-US" w:eastAsia="pt-BR"/>
        </w:rPr>
        <w:t xml:space="preserve">Incentivar a interação da criança com a família através de brincadeiras da infância dos pais. Desenvolver a linguagem e a ampliação do vocabulário. Melhorar a coordenação motora global </w:t>
      </w:r>
      <w:r w:rsidR="00744B17">
        <w:rPr>
          <w:rFonts w:ascii="Arial" w:eastAsia="Times New Roman" w:hAnsi="Arial" w:cs="Arial"/>
          <w:b/>
          <w:sz w:val="24"/>
          <w:szCs w:val="24"/>
          <w:lang w:val="en-US" w:eastAsia="pt-BR"/>
        </w:rPr>
        <w:t>(fina</w:t>
      </w:r>
      <w:r>
        <w:rPr>
          <w:rFonts w:ascii="Arial" w:eastAsia="Times New Roman" w:hAnsi="Arial" w:cs="Arial"/>
          <w:b/>
          <w:sz w:val="24"/>
          <w:szCs w:val="24"/>
          <w:lang w:val="en-US" w:eastAsia="pt-BR"/>
        </w:rPr>
        <w:t xml:space="preserve"> e grossa).</w:t>
      </w:r>
    </w:p>
    <w:p w:rsidR="00160CCD" w:rsidRDefault="00160CCD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</w:p>
    <w:p w:rsidR="00160CCD" w:rsidRDefault="00BA1DBE">
      <w:pPr>
        <w:suppressAutoHyphens/>
        <w:spacing w:after="0" w:line="360" w:lineRule="auto"/>
        <w:jc w:val="center"/>
        <w:rPr>
          <w:rFonts w:ascii="Trebuchet MS" w:eastAsia="Trebuchet MS" w:hAnsi="Trebuchet MS" w:cs="Trebuchet MS"/>
          <w:color w:val="FF0000"/>
          <w:sz w:val="36"/>
          <w:szCs w:val="36"/>
          <w:shd w:val="clear" w:color="FFFFFF" w:fill="D9D9D9"/>
        </w:rPr>
      </w:pPr>
      <w:r>
        <w:rPr>
          <w:rFonts w:ascii="Trebuchet MS" w:eastAsia="Trebuchet MS" w:hAnsi="Trebuchet MS" w:cs="Trebuchet MS"/>
          <w:color w:val="FF0000"/>
          <w:sz w:val="36"/>
          <w:szCs w:val="36"/>
          <w:shd w:val="clear" w:color="FFFFFF" w:fill="D9D9D9"/>
        </w:rPr>
        <w:t>TELEFONE SEM FIO</w:t>
      </w:r>
    </w:p>
    <w:p w:rsidR="00160CCD" w:rsidRDefault="00160CCD">
      <w:pPr>
        <w:suppressAutoHyphens/>
        <w:spacing w:after="0" w:line="360" w:lineRule="auto"/>
        <w:jc w:val="center"/>
        <w:rPr>
          <w:rFonts w:ascii="Trebuchet MS" w:eastAsia="Trebuchet MS" w:hAnsi="Trebuchet MS" w:cs="Trebuchet MS"/>
          <w:color w:val="FF0000"/>
          <w:sz w:val="36"/>
          <w:szCs w:val="36"/>
          <w:shd w:val="clear" w:color="FFFFFF" w:fill="D9D9D9"/>
        </w:rPr>
      </w:pP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>Reúna as crianças (ou quem estiver em casa) em uma roda ou em fila. O primeiro fala uma palavra para o segundo e assim sucessivamente. No final o último fala o que entendeu. Se estiver correto, o último vai para a frente da fila e a brincadeira começa novamente. Podem usar objetos ou figuras para representar a palavra. Assim seu filho consignará fazer a representação concreta da palavra.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BA1DBE">
      <w:pPr>
        <w:spacing w:after="0" w:line="360" w:lineRule="auto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 </w:t>
      </w:r>
    </w:p>
    <w:p w:rsidR="00160CCD" w:rsidRDefault="00160CCD">
      <w:pPr>
        <w:spacing w:after="0" w:line="240" w:lineRule="auto"/>
        <w:jc w:val="center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C36C25">
      <w:pPr>
        <w:spacing w:after="0" w:line="360" w:lineRule="auto"/>
        <w:jc w:val="center"/>
        <w:rPr>
          <w:rFonts w:ascii="Trebuchet MS" w:eastAsia="Trebuchet MS" w:hAnsi="Trebuchet MS" w:cs="Trebuchet MS"/>
          <w:b/>
          <w:sz w:val="36"/>
        </w:rPr>
      </w:pPr>
      <w:r>
        <w:rPr>
          <w:noProof/>
          <w:lang w:eastAsia="pt-BR"/>
        </w:rPr>
        <w:drawing>
          <wp:inline distT="0" distB="0" distL="0" distR="0">
            <wp:extent cx="3895725" cy="1962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BA1DBE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  <w:r>
        <w:rPr>
          <w:rFonts w:ascii="Open Sans" w:eastAsia="Open Sans" w:hAnsi="Open Sans" w:cs="Open Sans"/>
          <w:color w:val="666666"/>
          <w:sz w:val="21"/>
        </w:rPr>
        <w:t xml:space="preserve"> </w:t>
      </w:r>
    </w:p>
    <w:p w:rsidR="00744B17" w:rsidRDefault="00744B17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r>
        <w:t xml:space="preserve"> </w:t>
      </w: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BA1DBE">
      <w:pPr>
        <w:spacing w:after="0" w:line="360" w:lineRule="auto"/>
        <w:jc w:val="center"/>
        <w:rPr>
          <w:rFonts w:ascii="Trebuchet MS" w:eastAsia="Trebuchet MS" w:hAnsi="Trebuchet MS" w:cs="Trebuchet MS"/>
          <w:b/>
          <w:color w:val="FF0000"/>
          <w:sz w:val="40"/>
          <w:szCs w:val="40"/>
        </w:rPr>
      </w:pPr>
      <w:r>
        <w:rPr>
          <w:rFonts w:ascii="Trebuchet MS" w:eastAsia="Trebuchet MS" w:hAnsi="Trebuchet MS" w:cs="Trebuchet MS"/>
          <w:b/>
          <w:color w:val="FF0000"/>
          <w:sz w:val="40"/>
          <w:szCs w:val="40"/>
        </w:rPr>
        <w:t>MIMICA</w:t>
      </w:r>
    </w:p>
    <w:p w:rsidR="00160CCD" w:rsidRDefault="00744B17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>Dívida</w:t>
      </w:r>
      <w:r w:rsidR="00BA1DBE">
        <w:rPr>
          <w:rFonts w:ascii="Open Sans" w:eastAsia="Open Sans" w:hAnsi="Open Sans" w:cs="Open Sans"/>
          <w:color w:val="666666"/>
          <w:sz w:val="24"/>
          <w:szCs w:val="24"/>
        </w:rPr>
        <w:t xml:space="preserve"> em dois times sua família. Tirem no par ou ímpar quem começa. O time ganhador deve expressar em mímica a palavra escolhida pelo outro time. Escolha palavras simples para a criança poder fazer a mímica do jeitinho dela e os demais tentarem adivinhar. Se preferirem fazer anotações de pontos é opcional e no final ganha quem fez mais pontos.  Nesta atividade podemos usar o espelho </w:t>
      </w:r>
      <w:r>
        <w:rPr>
          <w:rFonts w:ascii="Open Sans" w:eastAsia="Open Sans" w:hAnsi="Open Sans" w:cs="Open Sans"/>
          <w:color w:val="666666"/>
          <w:sz w:val="24"/>
          <w:szCs w:val="24"/>
        </w:rPr>
        <w:t>como recurso</w:t>
      </w:r>
      <w:r w:rsidR="00BA1DBE">
        <w:rPr>
          <w:rFonts w:ascii="Open Sans" w:eastAsia="Open Sans" w:hAnsi="Open Sans" w:cs="Open Sans"/>
          <w:color w:val="666666"/>
          <w:sz w:val="24"/>
          <w:szCs w:val="24"/>
        </w:rPr>
        <w:t xml:space="preserve">!!!! </w:t>
      </w:r>
      <w:r>
        <w:rPr>
          <w:rFonts w:ascii="Open Sans" w:eastAsia="Open Sans" w:hAnsi="Open Sans" w:cs="Open Sans"/>
          <w:color w:val="666666"/>
          <w:sz w:val="24"/>
          <w:szCs w:val="24"/>
        </w:rPr>
        <w:t>Pais</w:t>
      </w:r>
      <w:r w:rsidR="00BA1DBE">
        <w:rPr>
          <w:rFonts w:ascii="Open Sans" w:eastAsia="Open Sans" w:hAnsi="Open Sans" w:cs="Open Sans"/>
          <w:color w:val="666666"/>
          <w:sz w:val="24"/>
          <w:szCs w:val="24"/>
        </w:rPr>
        <w:t xml:space="preserve"> </w:t>
      </w:r>
      <w:r>
        <w:rPr>
          <w:rFonts w:ascii="Open Sans" w:eastAsia="Open Sans" w:hAnsi="Open Sans" w:cs="Open Sans"/>
          <w:color w:val="666666"/>
          <w:sz w:val="24"/>
          <w:szCs w:val="24"/>
        </w:rPr>
        <w:t>podem pedir</w:t>
      </w:r>
      <w:r w:rsidR="00BA1DBE">
        <w:rPr>
          <w:rFonts w:ascii="Open Sans" w:eastAsia="Open Sans" w:hAnsi="Open Sans" w:cs="Open Sans"/>
          <w:color w:val="666666"/>
          <w:sz w:val="24"/>
          <w:szCs w:val="24"/>
        </w:rPr>
        <w:t xml:space="preserve"> para a criança realizar algum movimento em frente do espelho para ela se observar.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744B17" w:rsidRDefault="00744B17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C36C25">
      <w:pPr>
        <w:spacing w:after="0" w:line="240" w:lineRule="auto"/>
        <w:jc w:val="center"/>
        <w:rPr>
          <w:rFonts w:ascii="Open Sans" w:eastAsia="Open Sans" w:hAnsi="Open Sans" w:cs="Open Sans"/>
          <w:b/>
          <w:color w:val="666666"/>
          <w:sz w:val="21"/>
        </w:rPr>
      </w:pPr>
      <w:r>
        <w:rPr>
          <w:noProof/>
          <w:lang w:eastAsia="pt-BR"/>
        </w:rPr>
        <w:drawing>
          <wp:inline distT="0" distB="0" distL="0" distR="0">
            <wp:extent cx="4010025" cy="21717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r>
        <w:t xml:space="preserve"> </w:t>
      </w: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744B17" w:rsidRDefault="00744B17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</w:p>
    <w:p w:rsidR="00160CCD" w:rsidRDefault="00744B17">
      <w:pPr>
        <w:spacing w:after="0" w:line="360" w:lineRule="auto"/>
        <w:jc w:val="center"/>
        <w:rPr>
          <w:rFonts w:ascii="Trebuchet MS" w:eastAsia="Trebuchet MS" w:hAnsi="Trebuchet MS" w:cs="Trebuchet MS"/>
          <w:b/>
          <w:color w:val="FF0000"/>
          <w:sz w:val="40"/>
          <w:szCs w:val="40"/>
        </w:rPr>
      </w:pPr>
      <w:r>
        <w:rPr>
          <w:rFonts w:ascii="Open Sans" w:eastAsia="Open Sans" w:hAnsi="Open Sans" w:cs="Open Sans"/>
          <w:b/>
          <w:color w:val="FF0000"/>
          <w:sz w:val="40"/>
          <w:szCs w:val="40"/>
        </w:rPr>
        <w:t>PASSA ANEL</w:t>
      </w: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Uma das crianças vai ser a passadora de anel. Com o objeto nas palmas das mãos, ela deverá passar suas mãos entre as dos participantes que deverão estar posicionados lado a lado ou em círculo. O passador pode fazer isso quantas vezes quiser, mas em uma delas deve deixar o anel em uma das mãos. Quando terminar ela pergunta a um dos jogadores com quem está o anel. Se acertar, os papéis são invertidos. Se não, continua tudo igual. Nesta atividade pode ser usado algum objeto </w:t>
      </w:r>
      <w:r w:rsidR="00744B17">
        <w:rPr>
          <w:rFonts w:ascii="Open Sans" w:eastAsia="Open Sans" w:hAnsi="Open Sans" w:cs="Open Sans"/>
          <w:color w:val="666666"/>
          <w:sz w:val="24"/>
          <w:szCs w:val="24"/>
        </w:rPr>
        <w:t>(brinquedo</w:t>
      </w: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 que caiba na palma da mão).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240" w:lineRule="auto"/>
        <w:jc w:val="center"/>
        <w:rPr>
          <w:rFonts w:ascii="Trebuchet MS" w:eastAsia="Trebuchet MS" w:hAnsi="Trebuchet MS" w:cs="Trebuchet MS"/>
          <w:b/>
          <w:sz w:val="36"/>
        </w:rPr>
      </w:pPr>
    </w:p>
    <w:p w:rsidR="00160CCD" w:rsidRDefault="00C36C25">
      <w:pPr>
        <w:spacing w:after="0" w:line="240" w:lineRule="auto"/>
        <w:jc w:val="center"/>
        <w:rPr>
          <w:rFonts w:ascii="Trebuchet MS" w:eastAsia="Trebuchet MS" w:hAnsi="Trebuchet MS" w:cs="Trebuchet MS"/>
          <w:b/>
          <w:sz w:val="36"/>
        </w:rPr>
      </w:pPr>
      <w:r>
        <w:rPr>
          <w:noProof/>
          <w:lang w:eastAsia="pt-BR"/>
        </w:rPr>
        <w:drawing>
          <wp:inline distT="0" distB="0" distL="0" distR="0">
            <wp:extent cx="4591050" cy="2619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744B17" w:rsidRDefault="00744B17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r>
        <w:t xml:space="preserve"> </w:t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744B17" w:rsidRDefault="00744B17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</w:p>
    <w:p w:rsidR="00160CCD" w:rsidRDefault="00BA1DBE">
      <w:pPr>
        <w:spacing w:after="0" w:line="360" w:lineRule="auto"/>
        <w:jc w:val="center"/>
        <w:rPr>
          <w:rFonts w:ascii="Trebuchet MS" w:eastAsia="Trebuchet MS" w:hAnsi="Trebuchet MS" w:cs="Trebuchet MS"/>
          <w:b/>
          <w:color w:val="FF0000"/>
          <w:sz w:val="40"/>
          <w:szCs w:val="40"/>
        </w:rPr>
      </w:pPr>
      <w:r>
        <w:rPr>
          <w:rFonts w:ascii="Open Sans" w:eastAsia="Open Sans" w:hAnsi="Open Sans" w:cs="Open Sans"/>
          <w:b/>
          <w:color w:val="FF0000"/>
          <w:sz w:val="40"/>
          <w:szCs w:val="40"/>
        </w:rPr>
        <w:t>BOLICHE</w:t>
      </w: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>Encha garrafas de plástico com água ou areia até a metade para fazer os pinos. Depois, cada concorrente tenta derrubar os pinos com uma bola. Em cada rodada, o participante pode tentar duas vezes. Ganha quem derrubar mais pinos.</w:t>
      </w: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Nesta atividade podem conseguimos trabalhar com as cores, </w:t>
      </w:r>
      <w:r w:rsidR="00744B17">
        <w:rPr>
          <w:rFonts w:ascii="Open Sans" w:eastAsia="Open Sans" w:hAnsi="Open Sans" w:cs="Open Sans"/>
          <w:color w:val="666666"/>
          <w:sz w:val="24"/>
          <w:szCs w:val="24"/>
        </w:rPr>
        <w:t>sequência</w:t>
      </w: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 numérica e conceitos básicos </w:t>
      </w:r>
      <w:r w:rsidR="00744B17">
        <w:rPr>
          <w:rFonts w:ascii="Open Sans" w:eastAsia="Open Sans" w:hAnsi="Open Sans" w:cs="Open Sans"/>
          <w:color w:val="666666"/>
          <w:sz w:val="24"/>
          <w:szCs w:val="24"/>
        </w:rPr>
        <w:t>(cair</w:t>
      </w:r>
      <w:r>
        <w:rPr>
          <w:rFonts w:ascii="Open Sans" w:eastAsia="Open Sans" w:hAnsi="Open Sans" w:cs="Open Sans"/>
          <w:color w:val="666666"/>
          <w:sz w:val="24"/>
          <w:szCs w:val="24"/>
        </w:rPr>
        <w:t>/levantar, deitado/em pé).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24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C36C25">
      <w:pPr>
        <w:spacing w:after="0" w:line="240" w:lineRule="auto"/>
        <w:jc w:val="center"/>
        <w:rPr>
          <w:rFonts w:ascii="Open Sans" w:eastAsia="Open Sans" w:hAnsi="Open Sans" w:cs="Open Sans"/>
          <w:color w:val="666666"/>
          <w:sz w:val="21"/>
        </w:rPr>
      </w:pPr>
      <w:r>
        <w:rPr>
          <w:noProof/>
          <w:lang w:eastAsia="pt-BR"/>
        </w:rPr>
        <w:drawing>
          <wp:inline distT="0" distB="0" distL="0" distR="0">
            <wp:extent cx="4400550" cy="2400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744B17" w:rsidRDefault="00744B17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r>
        <w:t xml:space="preserve"> </w:t>
      </w: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FF0000"/>
          <w:sz w:val="28"/>
          <w:szCs w:val="28"/>
        </w:rPr>
      </w:pPr>
    </w:p>
    <w:p w:rsidR="00160CCD" w:rsidRDefault="00BA1DBE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  <w:r>
        <w:rPr>
          <w:rFonts w:ascii="Open Sans" w:eastAsia="Open Sans" w:hAnsi="Open Sans" w:cs="Open Sans"/>
          <w:b/>
          <w:color w:val="FF0000"/>
          <w:sz w:val="40"/>
          <w:szCs w:val="40"/>
        </w:rPr>
        <w:t>MORTO OU VIVO</w:t>
      </w:r>
    </w:p>
    <w:p w:rsidR="00160CCD" w:rsidRDefault="00160CCD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Coloque uma pessoa de frente para gritar “vivo” ou “morto “. Pode ser na sala, no quintal, onde achar mais agradável. Quando gritar “morto”, todos se abaixam. E quando for “vivo“, todos ficam em </w:t>
      </w:r>
      <w:r w:rsidR="00744B17">
        <w:rPr>
          <w:rFonts w:ascii="Open Sans" w:eastAsia="Open Sans" w:hAnsi="Open Sans" w:cs="Open Sans"/>
          <w:color w:val="666666"/>
          <w:sz w:val="24"/>
          <w:szCs w:val="24"/>
        </w:rPr>
        <w:t>pé.</w:t>
      </w:r>
      <w:r>
        <w:rPr>
          <w:rFonts w:ascii="Open Sans" w:eastAsia="Open Sans" w:hAnsi="Open Sans" w:cs="Open Sans"/>
          <w:color w:val="666666"/>
          <w:sz w:val="24"/>
          <w:szCs w:val="24"/>
        </w:rPr>
        <w:t xml:space="preserve"> A graça está em alternar as palavras e a velocidade. É diversão garantida.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BA1DBE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  <w:r>
        <w:rPr>
          <w:rFonts w:ascii="Open Sans" w:eastAsia="Open Sans" w:hAnsi="Open Sans" w:cs="Open Sans"/>
          <w:color w:val="666666"/>
          <w:sz w:val="21"/>
        </w:rPr>
        <w:t xml:space="preserve">                              </w:t>
      </w:r>
      <w:r w:rsidR="00C36C25">
        <w:rPr>
          <w:noProof/>
          <w:lang w:eastAsia="pt-BR"/>
        </w:rPr>
        <w:drawing>
          <wp:inline distT="0" distB="0" distL="0" distR="0">
            <wp:extent cx="4838700" cy="31242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744B17" w:rsidRDefault="00744B17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744B17" w:rsidRDefault="00744B17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r>
        <w:t xml:space="preserve"> </w:t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BA1DBE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  <w:r>
        <w:rPr>
          <w:rFonts w:ascii="Open Sans" w:eastAsia="Open Sans" w:hAnsi="Open Sans" w:cs="Open Sans"/>
          <w:b/>
          <w:color w:val="FF0000"/>
          <w:sz w:val="40"/>
          <w:szCs w:val="40"/>
        </w:rPr>
        <w:t>ESTATÚA</w:t>
      </w:r>
    </w:p>
    <w:p w:rsidR="00160CCD" w:rsidRDefault="00160CCD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>Uma pessoa é o líder e as outras (criança ou familiares) devem se posicionar de frente para ela. A partir daí a brincadeira pode ser feita de duas formas. Na primeira, o líder pode designar o que vai ser a estátua, como um animal, por exemplo. E pode escolher qual a mais bonita, feia ou engraçada. A outra, mais divertida, é colocar uma música agitada e por todos para dançar. Ao gritar “estátua “, todos devem parar. E o líder pode provocar cada um dos participantes para sair da posição de estátua.</w:t>
      </w: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</w:p>
    <w:p w:rsidR="00160CCD" w:rsidRDefault="00C36C25">
      <w:pPr>
        <w:spacing w:after="0" w:line="240" w:lineRule="auto"/>
        <w:jc w:val="center"/>
        <w:rPr>
          <w:rFonts w:ascii="Open Sans" w:eastAsia="Open Sans" w:hAnsi="Open Sans" w:cs="Open Sans"/>
          <w:color w:val="666666"/>
          <w:sz w:val="21"/>
        </w:rPr>
      </w:pPr>
      <w:r>
        <w:rPr>
          <w:noProof/>
          <w:lang w:eastAsia="pt-BR"/>
        </w:rPr>
        <w:drawing>
          <wp:inline distT="0" distB="0" distL="0" distR="0">
            <wp:extent cx="4400550" cy="26479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BA1DBE">
      <w:pPr>
        <w:rPr>
          <w:sz w:val="16"/>
          <w:szCs w:val="16"/>
        </w:rPr>
      </w:pPr>
      <w:r>
        <w:rPr>
          <w:sz w:val="16"/>
          <w:szCs w:val="16"/>
        </w:rPr>
        <w:t>Forma de registro: as atividades poderão ser registradas através de fotos, vídeos, desenhos ou escrita da experiência</w:t>
      </w:r>
    </w:p>
    <w:p w:rsidR="00160CCD" w:rsidRDefault="00BA1DBE">
      <w:pPr>
        <w:rPr>
          <w:rFonts w:ascii="Trebuchet MS" w:eastAsia="Trebuchet MS" w:hAnsi="Trebuchet MS" w:cs="Trebuchet MS"/>
          <w:b/>
          <w:sz w:val="36"/>
        </w:rPr>
      </w:pPr>
      <w:r>
        <w:t xml:space="preserve"> </w:t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BA1DBE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  <w:r>
        <w:rPr>
          <w:rFonts w:ascii="Open Sans" w:eastAsia="Open Sans" w:hAnsi="Open Sans" w:cs="Open Sans"/>
          <w:b/>
          <w:color w:val="FF0000"/>
          <w:sz w:val="40"/>
          <w:szCs w:val="40"/>
        </w:rPr>
        <w:lastRenderedPageBreak/>
        <w:t>DANÇA DAS CADEIRAS</w:t>
      </w:r>
    </w:p>
    <w:p w:rsidR="00160CCD" w:rsidRDefault="00160CCD">
      <w:pPr>
        <w:spacing w:after="0" w:line="360" w:lineRule="auto"/>
        <w:jc w:val="center"/>
        <w:rPr>
          <w:rFonts w:ascii="Open Sans" w:eastAsia="Open Sans" w:hAnsi="Open Sans" w:cs="Open Sans"/>
          <w:b/>
          <w:color w:val="FF0000"/>
          <w:sz w:val="40"/>
          <w:szCs w:val="40"/>
        </w:rPr>
      </w:pPr>
    </w:p>
    <w:p w:rsidR="00160CCD" w:rsidRDefault="00BA1DBE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  <w:r>
        <w:rPr>
          <w:rFonts w:ascii="Open Sans" w:eastAsia="Open Sans" w:hAnsi="Open Sans" w:cs="Open Sans"/>
          <w:color w:val="666666"/>
          <w:sz w:val="24"/>
          <w:szCs w:val="24"/>
        </w:rPr>
        <w:t>Essa é um clássico das brincadeiras infantis. Separe as cadeiras de acordo com o número de pessoas, menos um. Coloque uma música para tocar enquanto todos correm em volta das cadeiras, todos com os braços para trás. Ao parar a música, devem se sentar na cadeira mais próxima. Quem “sobrar”, deixa a brincadeira e retira-se a cadeira até sobrar um vencedor.</w:t>
      </w:r>
    </w:p>
    <w:p w:rsidR="00160CCD" w:rsidRDefault="00160CCD">
      <w:pPr>
        <w:spacing w:after="0" w:line="360" w:lineRule="auto"/>
        <w:jc w:val="both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color w:val="666666"/>
          <w:sz w:val="24"/>
          <w:szCs w:val="24"/>
        </w:rPr>
      </w:pPr>
    </w:p>
    <w:p w:rsidR="00160CCD" w:rsidRDefault="00BA1DBE">
      <w:pPr>
        <w:spacing w:after="0" w:line="360" w:lineRule="auto"/>
        <w:rPr>
          <w:rFonts w:ascii="Open Sans" w:eastAsia="Open Sans" w:hAnsi="Open Sans" w:cs="Open Sans"/>
          <w:color w:val="666666"/>
          <w:sz w:val="21"/>
        </w:rPr>
      </w:pPr>
      <w:r>
        <w:rPr>
          <w:rFonts w:ascii="Open Sans" w:eastAsia="Open Sans" w:hAnsi="Open Sans" w:cs="Open Sans"/>
          <w:color w:val="666666"/>
          <w:sz w:val="21"/>
        </w:rPr>
        <w:t xml:space="preserve">                               </w:t>
      </w:r>
      <w:r w:rsidR="00C36C25">
        <w:rPr>
          <w:noProof/>
          <w:lang w:eastAsia="pt-BR"/>
        </w:rPr>
        <w:drawing>
          <wp:inline distT="0" distB="0" distL="0" distR="0">
            <wp:extent cx="4867275" cy="27908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CCD" w:rsidRDefault="00160CCD">
      <w:pPr>
        <w:spacing w:after="0" w:line="360" w:lineRule="auto"/>
        <w:rPr>
          <w:rFonts w:ascii="Trebuchet MS" w:eastAsia="Trebuchet MS" w:hAnsi="Trebuchet MS" w:cs="Trebuchet MS"/>
          <w:b/>
          <w:sz w:val="36"/>
        </w:rPr>
      </w:pPr>
    </w:p>
    <w:p w:rsidR="00160CCD" w:rsidRDefault="00160CCD">
      <w:pPr>
        <w:spacing w:after="0" w:line="360" w:lineRule="auto"/>
        <w:rPr>
          <w:rFonts w:ascii="Open Sans" w:eastAsia="Open Sans" w:hAnsi="Open Sans" w:cs="Open Sans"/>
          <w:b/>
          <w:color w:val="666666"/>
          <w:sz w:val="21"/>
        </w:rPr>
      </w:pPr>
    </w:p>
    <w:p w:rsidR="00160CCD" w:rsidRDefault="00160CCD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</w:p>
    <w:p w:rsidR="00744B17" w:rsidRDefault="00744B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</w:p>
    <w:p w:rsidR="00744B17" w:rsidRDefault="00744B17">
      <w:pPr>
        <w:tabs>
          <w:tab w:val="left" w:pos="4290"/>
        </w:tabs>
        <w:spacing w:line="360" w:lineRule="auto"/>
        <w:rPr>
          <w:rFonts w:ascii="Arial" w:eastAsia="Times New Roman" w:hAnsi="Arial" w:cs="Arial"/>
          <w:b/>
          <w:sz w:val="24"/>
          <w:szCs w:val="24"/>
          <w:lang w:val="en-US" w:eastAsia="pt-BR"/>
        </w:rPr>
      </w:pPr>
      <w:bookmarkStart w:id="0" w:name="_GoBack"/>
      <w:bookmarkEnd w:id="0"/>
    </w:p>
    <w:p w:rsidR="00160CCD" w:rsidRDefault="00160CCD"/>
    <w:p w:rsidR="00160CCD" w:rsidRDefault="00BA1DBE">
      <w:r>
        <w:rPr>
          <w:sz w:val="16"/>
          <w:szCs w:val="16"/>
        </w:rPr>
        <w:t xml:space="preserve">Forma de registro: as atividades poderão ser registradas através de fotos, vídeos, desenhos ou escrita </w:t>
      </w:r>
      <w:r w:rsidR="00744B17">
        <w:rPr>
          <w:sz w:val="16"/>
          <w:szCs w:val="16"/>
        </w:rPr>
        <w:t>das experiências</w:t>
      </w:r>
    </w:p>
    <w:sectPr w:rsidR="00160CCD">
      <w:headerReference w:type="default" r:id="rId14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065E" w:rsidRDefault="00AF065E">
      <w:pPr>
        <w:spacing w:line="240" w:lineRule="auto"/>
      </w:pPr>
      <w:r>
        <w:separator/>
      </w:r>
    </w:p>
  </w:endnote>
  <w:endnote w:type="continuationSeparator" w:id="0">
    <w:p w:rsidR="00AF065E" w:rsidRDefault="00AF0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imes New Roman"/>
    <w:charset w:val="00"/>
    <w:family w:val="auto"/>
    <w:pitch w:val="default"/>
    <w:sig w:usb0="00000001" w:usb1="4000205B" w:usb2="00000028" w:usb3="00000000" w:csb0="2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065E" w:rsidRDefault="00AF065E">
      <w:pPr>
        <w:spacing w:after="0" w:line="240" w:lineRule="auto"/>
      </w:pPr>
      <w:r>
        <w:separator/>
      </w:r>
    </w:p>
  </w:footnote>
  <w:footnote w:type="continuationSeparator" w:id="0">
    <w:p w:rsidR="00AF065E" w:rsidRDefault="00AF0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CCD" w:rsidRDefault="00BA1DBE">
    <w:pPr>
      <w:pStyle w:val="Cabealho"/>
    </w:pPr>
    <w:r>
      <w:rPr>
        <w:rFonts w:cs="Calibri"/>
        <w:noProof/>
        <w:color w:val="000000"/>
        <w:lang w:eastAsia="pt-BR"/>
      </w:rPr>
      <w:drawing>
        <wp:inline distT="0" distB="0" distL="114300" distR="114300">
          <wp:extent cx="6116955" cy="873760"/>
          <wp:effectExtent l="0" t="0" r="17145" b="2540"/>
          <wp:docPr id="25" name="Imagem 1" descr="LOGO_AE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m 1" descr="LOGO_AEE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955" cy="873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B02DCB"/>
    <w:rsid w:val="00006026"/>
    <w:rsid w:val="00026AE2"/>
    <w:rsid w:val="00041BA9"/>
    <w:rsid w:val="0004466B"/>
    <w:rsid w:val="00073341"/>
    <w:rsid w:val="00074ACD"/>
    <w:rsid w:val="000840D8"/>
    <w:rsid w:val="000920DA"/>
    <w:rsid w:val="00130F1B"/>
    <w:rsid w:val="00160CCD"/>
    <w:rsid w:val="0017420E"/>
    <w:rsid w:val="001755DA"/>
    <w:rsid w:val="00191261"/>
    <w:rsid w:val="001E7023"/>
    <w:rsid w:val="002072E7"/>
    <w:rsid w:val="0024161A"/>
    <w:rsid w:val="00267A82"/>
    <w:rsid w:val="00272762"/>
    <w:rsid w:val="002A2841"/>
    <w:rsid w:val="002B1CFA"/>
    <w:rsid w:val="002E4243"/>
    <w:rsid w:val="002F7793"/>
    <w:rsid w:val="00306E43"/>
    <w:rsid w:val="003D7A79"/>
    <w:rsid w:val="003E318A"/>
    <w:rsid w:val="003F2F57"/>
    <w:rsid w:val="004173B2"/>
    <w:rsid w:val="004710E1"/>
    <w:rsid w:val="00477AC6"/>
    <w:rsid w:val="004D2609"/>
    <w:rsid w:val="00502450"/>
    <w:rsid w:val="00505CBD"/>
    <w:rsid w:val="005116BD"/>
    <w:rsid w:val="00551153"/>
    <w:rsid w:val="00552CA3"/>
    <w:rsid w:val="0057369F"/>
    <w:rsid w:val="005860BC"/>
    <w:rsid w:val="005B66DB"/>
    <w:rsid w:val="005E03F0"/>
    <w:rsid w:val="005E3175"/>
    <w:rsid w:val="00606C19"/>
    <w:rsid w:val="0064023B"/>
    <w:rsid w:val="00650B04"/>
    <w:rsid w:val="00676F25"/>
    <w:rsid w:val="00744879"/>
    <w:rsid w:val="00744B17"/>
    <w:rsid w:val="0075697F"/>
    <w:rsid w:val="00761EF3"/>
    <w:rsid w:val="00791B57"/>
    <w:rsid w:val="007A05B6"/>
    <w:rsid w:val="007B00C6"/>
    <w:rsid w:val="007B16F4"/>
    <w:rsid w:val="007C749F"/>
    <w:rsid w:val="007C7FDC"/>
    <w:rsid w:val="0081214A"/>
    <w:rsid w:val="008442E1"/>
    <w:rsid w:val="00876909"/>
    <w:rsid w:val="00883183"/>
    <w:rsid w:val="00902218"/>
    <w:rsid w:val="00960D55"/>
    <w:rsid w:val="00A02199"/>
    <w:rsid w:val="00A1348F"/>
    <w:rsid w:val="00A17CFB"/>
    <w:rsid w:val="00A65699"/>
    <w:rsid w:val="00A7271F"/>
    <w:rsid w:val="00A76587"/>
    <w:rsid w:val="00AA64C8"/>
    <w:rsid w:val="00AB1D08"/>
    <w:rsid w:val="00AC7CEE"/>
    <w:rsid w:val="00AD56A5"/>
    <w:rsid w:val="00AD5782"/>
    <w:rsid w:val="00AF065E"/>
    <w:rsid w:val="00B7306B"/>
    <w:rsid w:val="00BA06D0"/>
    <w:rsid w:val="00BA1DBE"/>
    <w:rsid w:val="00BC4C67"/>
    <w:rsid w:val="00BE6F69"/>
    <w:rsid w:val="00C11031"/>
    <w:rsid w:val="00C36C25"/>
    <w:rsid w:val="00C47947"/>
    <w:rsid w:val="00C6585D"/>
    <w:rsid w:val="00C82A2C"/>
    <w:rsid w:val="00CA3AC6"/>
    <w:rsid w:val="00CD544E"/>
    <w:rsid w:val="00CE0AC9"/>
    <w:rsid w:val="00CE1D1C"/>
    <w:rsid w:val="00D12FC7"/>
    <w:rsid w:val="00D14FE7"/>
    <w:rsid w:val="00D27B4C"/>
    <w:rsid w:val="00D27D01"/>
    <w:rsid w:val="00D46D06"/>
    <w:rsid w:val="00DC319B"/>
    <w:rsid w:val="00DC3998"/>
    <w:rsid w:val="00E25634"/>
    <w:rsid w:val="00E63030"/>
    <w:rsid w:val="00E7331D"/>
    <w:rsid w:val="00E758B1"/>
    <w:rsid w:val="00E91A7B"/>
    <w:rsid w:val="00E92238"/>
    <w:rsid w:val="00ED1503"/>
    <w:rsid w:val="00EF6D6E"/>
    <w:rsid w:val="00F13967"/>
    <w:rsid w:val="00F23222"/>
    <w:rsid w:val="00F23F82"/>
    <w:rsid w:val="00F62E5A"/>
    <w:rsid w:val="00F71488"/>
    <w:rsid w:val="00F83170"/>
    <w:rsid w:val="00FF0B64"/>
    <w:rsid w:val="09444E4D"/>
    <w:rsid w:val="0AB02DCB"/>
    <w:rsid w:val="10AF2EE8"/>
    <w:rsid w:val="21CE2A40"/>
    <w:rsid w:val="481C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764A78-1A78-4D9E-A587-61A7D2F8D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</w:style>
  <w:style w:type="character" w:customStyle="1" w:styleId="pg-1fc1">
    <w:name w:val="pg-1fc1"/>
    <w:qFormat/>
  </w:style>
  <w:style w:type="character" w:customStyle="1" w:styleId="pg-1fc2">
    <w:name w:val="pg-1fc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683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Ricardo Joel</cp:lastModifiedBy>
  <cp:revision>4</cp:revision>
  <dcterms:created xsi:type="dcterms:W3CDTF">2021-10-24T18:39:00Z</dcterms:created>
  <dcterms:modified xsi:type="dcterms:W3CDTF">2021-10-24T18:56:00Z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1046-11.2.0.10224</vt:lpwstr>
  </property>
  <property fmtid="{D5CDD505-2E9C-101B-9397-08002B2CF9AE}" pid="3" name="ICV">
    <vt:lpwstr>877F0705AC4B4209956B26419ED680B1</vt:lpwstr>
  </property>
</Properties>
</file>